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4" w:rsidRDefault="00C91BE4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536CF">
        <w:rPr>
          <w:rFonts w:ascii="Times New Roman" w:hAnsi="Times New Roman" w:cs="Times New Roman"/>
          <w:sz w:val="24"/>
          <w:szCs w:val="24"/>
          <w:u w:val="single"/>
        </w:rPr>
        <w:t xml:space="preserve">27.09.2021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</w:t>
      </w:r>
      <w:r w:rsidR="009536CF">
        <w:rPr>
          <w:rFonts w:ascii="Times New Roman" w:hAnsi="Times New Roman" w:cs="Times New Roman"/>
          <w:sz w:val="24"/>
          <w:szCs w:val="24"/>
        </w:rPr>
        <w:t>__</w:t>
      </w:r>
      <w:r w:rsidR="009536CF" w:rsidRPr="009536CF">
        <w:rPr>
          <w:rFonts w:ascii="Times New Roman" w:hAnsi="Times New Roman" w:cs="Times New Roman"/>
          <w:sz w:val="24"/>
          <w:szCs w:val="24"/>
          <w:u w:val="single"/>
        </w:rPr>
        <w:t>107-А</w:t>
      </w:r>
      <w:r w:rsidR="009536CF">
        <w:rPr>
          <w:rFonts w:ascii="Times New Roman" w:hAnsi="Times New Roman" w:cs="Times New Roman"/>
          <w:sz w:val="24"/>
          <w:szCs w:val="24"/>
        </w:rPr>
        <w:t>___</w:t>
      </w:r>
      <w:r w:rsidR="00C91BE4">
        <w:rPr>
          <w:rFonts w:ascii="Times New Roman" w:hAnsi="Times New Roman" w:cs="Times New Roman"/>
          <w:sz w:val="24"/>
          <w:szCs w:val="24"/>
        </w:rPr>
        <w:t>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E5534">
        <w:rPr>
          <w:rFonts w:ascii="Times New Roman" w:hAnsi="Times New Roman" w:cs="Times New Roman"/>
          <w:b/>
          <w:sz w:val="27"/>
          <w:szCs w:val="27"/>
        </w:rPr>
        <w:t>2</w:t>
      </w:r>
    </w:p>
    <w:p w:rsidR="00FF7823" w:rsidRDefault="00FF7823" w:rsidP="00FF782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бюджетное учреждение «Отрадновский культурно-досуговый центр»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</w:t>
      </w:r>
      <w:r w:rsidR="000E5534">
        <w:rPr>
          <w:rFonts w:ascii="Times New Roman" w:hAnsi="Times New Roman" w:cs="Times New Roman"/>
          <w:b/>
          <w:sz w:val="27"/>
          <w:szCs w:val="27"/>
        </w:rPr>
        <w:t>1</w:t>
      </w:r>
      <w:r w:rsidR="004B38D1">
        <w:rPr>
          <w:rFonts w:ascii="Times New Roman" w:hAnsi="Times New Roman" w:cs="Times New Roman"/>
          <w:b/>
          <w:sz w:val="27"/>
          <w:szCs w:val="27"/>
        </w:rPr>
        <w:t>-202</w:t>
      </w:r>
      <w:r w:rsidR="000E5534">
        <w:rPr>
          <w:rFonts w:ascii="Times New Roman" w:hAnsi="Times New Roman" w:cs="Times New Roman"/>
          <w:b/>
          <w:sz w:val="27"/>
          <w:szCs w:val="27"/>
        </w:rPr>
        <w:t>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0F5D5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5C6F" w:rsidRPr="00CF097A" w:rsidTr="000E5534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0E5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Default="00A91216" w:rsidP="000E5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5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7179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717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17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0E553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0E55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0E5534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5534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0E5534" w:rsidRPr="00A62615" w:rsidRDefault="000E5534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0E5534" w:rsidRPr="00607788" w:rsidRDefault="000E5534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0E5534" w:rsidRPr="00655C3D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E5534" w:rsidRPr="00655C3D" w:rsidRDefault="000E553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0E5534" w:rsidRPr="00655C3D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E5534" w:rsidRPr="00655C3D" w:rsidRDefault="000E553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E5534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0E5534" w:rsidRPr="00607788" w:rsidRDefault="000E553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E5534" w:rsidRPr="00655C3D" w:rsidRDefault="000E553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0E5534" w:rsidRPr="00655C3D" w:rsidRDefault="000E553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E5534" w:rsidRPr="00655C3D" w:rsidRDefault="000E553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0E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5534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5534" w:rsidRPr="00655C3D" w:rsidRDefault="000E5534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5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6643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3E6643" w:rsidRPr="00A62615" w:rsidRDefault="003E6643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3E6643" w:rsidRPr="00607788" w:rsidRDefault="003E6643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3E6643" w:rsidRPr="008A1EAD" w:rsidRDefault="003E6643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3E6643" w:rsidRPr="008A1EAD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3E6643" w:rsidRPr="008A1EAD" w:rsidRDefault="003E6643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3E6643" w:rsidRPr="008A1EAD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3E6643" w:rsidRPr="008A1EAD" w:rsidRDefault="003E6643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3E6643" w:rsidRPr="008A1EAD" w:rsidRDefault="003E664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643" w:rsidRPr="008401FC" w:rsidRDefault="003E664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E6643" w:rsidRPr="008401FC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E6643" w:rsidRPr="008401FC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6643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3E6643" w:rsidRPr="00607788" w:rsidRDefault="003E6643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3E6643" w:rsidRPr="008A1EAD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3E6643" w:rsidRPr="008A1EAD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3E6643" w:rsidRPr="008A1EAD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3E6643" w:rsidRPr="008A1EAD" w:rsidRDefault="003E6643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3E6643" w:rsidRPr="008A1EAD" w:rsidRDefault="003E6643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3E6643" w:rsidRPr="008A1EAD" w:rsidRDefault="003E664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643" w:rsidRPr="008401FC" w:rsidRDefault="003E664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6643" w:rsidRPr="008401FC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6643" w:rsidRPr="008401FC" w:rsidRDefault="003E6643" w:rsidP="00953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6643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3E6643" w:rsidRPr="008A1EAD" w:rsidRDefault="003E6643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3E6643" w:rsidRPr="008A1EAD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6643" w:rsidRPr="008A1EAD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6643" w:rsidRPr="008A1EAD" w:rsidRDefault="003E664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6643" w:rsidRPr="00773D20" w:rsidRDefault="003E6643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6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673C" w:rsidRPr="00A25AD5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8A1EAD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8A1EAD" w:rsidRDefault="0029673C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8A1EAD" w:rsidRDefault="0029673C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29673C" w:rsidRDefault="0029673C" w:rsidP="0029673C">
            <w:pPr>
              <w:jc w:val="center"/>
              <w:rPr>
                <w:b/>
                <w:sz w:val="24"/>
              </w:rPr>
            </w:pPr>
            <w:r w:rsidRPr="0029673C">
              <w:rPr>
                <w:b/>
                <w:sz w:val="24"/>
              </w:rPr>
              <w:t>8100</w:t>
            </w:r>
          </w:p>
        </w:tc>
        <w:tc>
          <w:tcPr>
            <w:tcW w:w="1134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10998</w:t>
            </w:r>
          </w:p>
        </w:tc>
        <w:tc>
          <w:tcPr>
            <w:tcW w:w="1276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12887</w:t>
            </w:r>
          </w:p>
        </w:tc>
      </w:tr>
      <w:tr w:rsidR="0029673C" w:rsidRPr="00A25AD5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8A1EAD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8A1EAD" w:rsidRDefault="0029673C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8A1EAD" w:rsidRDefault="0029673C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29673C" w:rsidRDefault="0029673C" w:rsidP="0029673C">
            <w:pPr>
              <w:jc w:val="center"/>
              <w:rPr>
                <w:b/>
                <w:sz w:val="24"/>
              </w:rPr>
            </w:pPr>
            <w:r w:rsidRPr="0029673C">
              <w:rPr>
                <w:b/>
                <w:sz w:val="24"/>
              </w:rPr>
              <w:t>26608</w:t>
            </w:r>
          </w:p>
        </w:tc>
        <w:tc>
          <w:tcPr>
            <w:tcW w:w="1134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27485</w:t>
            </w:r>
          </w:p>
        </w:tc>
        <w:tc>
          <w:tcPr>
            <w:tcW w:w="1276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32133</w:t>
            </w:r>
          </w:p>
        </w:tc>
      </w:tr>
      <w:tr w:rsidR="0029673C" w:rsidRPr="00A25AD5" w:rsidTr="0029673C">
        <w:trPr>
          <w:trHeight w:val="375"/>
        </w:trPr>
        <w:tc>
          <w:tcPr>
            <w:tcW w:w="2074" w:type="dxa"/>
            <w:shd w:val="clear" w:color="auto" w:fill="auto"/>
          </w:tcPr>
          <w:p w:rsidR="0029673C" w:rsidRPr="008A1EAD" w:rsidRDefault="0029673C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29673C" w:rsidRPr="008A1EAD" w:rsidRDefault="0029673C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29673C" w:rsidRPr="008A1EAD" w:rsidRDefault="0029673C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9673C" w:rsidRPr="0029673C" w:rsidRDefault="0029673C" w:rsidP="0029673C">
            <w:pPr>
              <w:jc w:val="center"/>
              <w:rPr>
                <w:b/>
                <w:sz w:val="24"/>
              </w:rPr>
            </w:pPr>
            <w:r w:rsidRPr="0029673C">
              <w:rPr>
                <w:b/>
                <w:sz w:val="24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</w:t>
            </w:r>
          </w:p>
        </w:tc>
        <w:tc>
          <w:tcPr>
            <w:tcW w:w="1276" w:type="dxa"/>
            <w:shd w:val="clear" w:color="auto" w:fill="auto"/>
          </w:tcPr>
          <w:p w:rsidR="0029673C" w:rsidRPr="008401FC" w:rsidRDefault="0029673C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2939</w:t>
            </w:r>
          </w:p>
        </w:tc>
      </w:tr>
      <w:tr w:rsidR="0029673C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9673C" w:rsidRPr="008A1EAD" w:rsidRDefault="0029673C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673C" w:rsidRPr="002D4CCA" w:rsidRDefault="0029673C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148F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8A1EAD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8A1EAD" w:rsidRDefault="0007148F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8A1EAD" w:rsidRDefault="0007148F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07148F" w:rsidRDefault="0007148F" w:rsidP="0007148F">
            <w:pPr>
              <w:jc w:val="center"/>
              <w:rPr>
                <w:b/>
                <w:sz w:val="24"/>
              </w:rPr>
            </w:pPr>
            <w:r w:rsidRPr="0007148F">
              <w:rPr>
                <w:b/>
                <w:sz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07148F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8A1EAD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07148F" w:rsidRDefault="0007148F" w:rsidP="0007148F">
            <w:pPr>
              <w:jc w:val="center"/>
              <w:rPr>
                <w:b/>
                <w:sz w:val="24"/>
              </w:rPr>
            </w:pPr>
            <w:r w:rsidRPr="0007148F">
              <w:rPr>
                <w:b/>
                <w:sz w:val="24"/>
              </w:rPr>
              <w:t>707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1237</w:t>
            </w:r>
          </w:p>
        </w:tc>
      </w:tr>
      <w:tr w:rsidR="0007148F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7148F" w:rsidRPr="008A1EAD" w:rsidRDefault="0007148F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7148F" w:rsidRPr="008A1EAD" w:rsidRDefault="0007148F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07148F" w:rsidRPr="008A1EAD" w:rsidRDefault="0007148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7148F" w:rsidRPr="0007148F" w:rsidRDefault="0007148F" w:rsidP="0007148F">
            <w:pPr>
              <w:jc w:val="center"/>
              <w:rPr>
                <w:b/>
                <w:sz w:val="24"/>
              </w:rPr>
            </w:pPr>
            <w:r w:rsidRPr="0007148F">
              <w:rPr>
                <w:b/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07148F" w:rsidRPr="008401FC" w:rsidRDefault="0007148F" w:rsidP="00953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07148F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07148F" w:rsidRPr="008A1EAD" w:rsidRDefault="0007148F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07148F" w:rsidRPr="008A1EAD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7148F" w:rsidRPr="008A1EAD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148F" w:rsidRPr="008A1EAD" w:rsidRDefault="0007148F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148F" w:rsidRPr="008A1EAD" w:rsidRDefault="0007148F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P767"/>
      <w:bookmarkEnd w:id="1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подтверждаемой документами и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22" w:rsidRDefault="00FE0022" w:rsidP="00DC7B90">
      <w:r>
        <w:separator/>
      </w:r>
    </w:p>
  </w:endnote>
  <w:endnote w:type="continuationSeparator" w:id="0">
    <w:p w:rsidR="00FE0022" w:rsidRDefault="00FE0022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22" w:rsidRDefault="00FE0022" w:rsidP="00DC7B90">
      <w:r>
        <w:separator/>
      </w:r>
    </w:p>
  </w:footnote>
  <w:footnote w:type="continuationSeparator" w:id="0">
    <w:p w:rsidR="00FE0022" w:rsidRDefault="00FE0022" w:rsidP="00DC7B90">
      <w:r>
        <w:continuationSeparator/>
      </w:r>
    </w:p>
  </w:footnote>
  <w:footnote w:id="1">
    <w:p w:rsidR="009536CF" w:rsidRPr="00FC6617" w:rsidRDefault="009536CF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9536CF" w:rsidRPr="00FC6617" w:rsidRDefault="009536CF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9536CF" w:rsidRPr="00FC6617" w:rsidRDefault="009536CF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9536CF" w:rsidRPr="00FC6617" w:rsidRDefault="009536CF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9536CF" w:rsidRPr="00FC6617" w:rsidRDefault="009536CF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9536CF" w:rsidRPr="00FC6617" w:rsidRDefault="009536CF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9536CF" w:rsidRPr="00FC6617" w:rsidRDefault="009536CF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9536CF" w:rsidRPr="00FC6617" w:rsidRDefault="009536CF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9536CF" w:rsidRPr="00FC6617" w:rsidRDefault="009536CF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9536CF" w:rsidRPr="006C529E" w:rsidRDefault="009536CF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9536CF" w:rsidRPr="006C529E" w:rsidRDefault="009536CF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148F"/>
    <w:rsid w:val="00072696"/>
    <w:rsid w:val="000A624A"/>
    <w:rsid w:val="000B4304"/>
    <w:rsid w:val="000B574E"/>
    <w:rsid w:val="000C42A9"/>
    <w:rsid w:val="000E3AB8"/>
    <w:rsid w:val="000E5534"/>
    <w:rsid w:val="000F5D59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9673C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767C8"/>
    <w:rsid w:val="00396889"/>
    <w:rsid w:val="003A71CB"/>
    <w:rsid w:val="003B270D"/>
    <w:rsid w:val="003D097A"/>
    <w:rsid w:val="003D1390"/>
    <w:rsid w:val="003E31A4"/>
    <w:rsid w:val="003E6643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42F2A"/>
    <w:rsid w:val="00655C3D"/>
    <w:rsid w:val="006747F4"/>
    <w:rsid w:val="006E2361"/>
    <w:rsid w:val="006E542E"/>
    <w:rsid w:val="007001BD"/>
    <w:rsid w:val="007036DB"/>
    <w:rsid w:val="0070623E"/>
    <w:rsid w:val="007101A1"/>
    <w:rsid w:val="0071793B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C3006"/>
    <w:rsid w:val="007D65B4"/>
    <w:rsid w:val="007D67BF"/>
    <w:rsid w:val="007E205F"/>
    <w:rsid w:val="00801082"/>
    <w:rsid w:val="00802A45"/>
    <w:rsid w:val="00805C6F"/>
    <w:rsid w:val="00810DBA"/>
    <w:rsid w:val="0081285F"/>
    <w:rsid w:val="008209B8"/>
    <w:rsid w:val="00830C16"/>
    <w:rsid w:val="008401FC"/>
    <w:rsid w:val="00840384"/>
    <w:rsid w:val="00850DA4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536CF"/>
    <w:rsid w:val="009916EB"/>
    <w:rsid w:val="009939EC"/>
    <w:rsid w:val="009B3056"/>
    <w:rsid w:val="009D7CC4"/>
    <w:rsid w:val="009F1700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B5F2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2B96"/>
    <w:rsid w:val="00F8694D"/>
    <w:rsid w:val="00F93B19"/>
    <w:rsid w:val="00FA3DE7"/>
    <w:rsid w:val="00FD3E64"/>
    <w:rsid w:val="00FE0022"/>
    <w:rsid w:val="00FE2250"/>
    <w:rsid w:val="00FE3D39"/>
    <w:rsid w:val="00FF1712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29A2-1169-43AD-B1A4-78A9E7F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8</cp:revision>
  <cp:lastPrinted>2021-02-15T07:49:00Z</cp:lastPrinted>
  <dcterms:created xsi:type="dcterms:W3CDTF">2021-10-06T08:50:00Z</dcterms:created>
  <dcterms:modified xsi:type="dcterms:W3CDTF">2021-10-13T12:39:00Z</dcterms:modified>
</cp:coreProperties>
</file>